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F76BC1" w:rsidRPr="00ED100C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F76BC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03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E813F4" w:rsidRPr="000010B2" w:rsidRDefault="000010B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76BC1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F76BC1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0010B2">
        <w:rPr>
          <w:rFonts w:ascii="Tahoma" w:hAnsi="Tahoma" w:cs="Tahoma"/>
          <w:b/>
          <w:color w:val="333333"/>
          <w:szCs w:val="20"/>
          <w:shd w:val="clear" w:color="auto" w:fill="FFFFFF"/>
        </w:rPr>
        <w:t>:1</w:t>
      </w:r>
      <w:r w:rsidR="00F76BC1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</w:p>
    <w:p w:rsidR="00E813F4" w:rsidRPr="000010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010B2">
        <w:rPr>
          <w:rFonts w:ascii="Tahoma" w:hAnsi="Tahoma" w:cs="Tahoma"/>
          <w:b/>
          <w:szCs w:val="20"/>
        </w:rPr>
        <w:t>Vprašanje:</w:t>
      </w:r>
    </w:p>
    <w:p w:rsidR="00E813F4" w:rsidRPr="00F76BC1" w:rsidRDefault="00E813F4" w:rsidP="00F76BC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0010B2" w:rsidRPr="00F76BC1" w:rsidRDefault="00F76BC1" w:rsidP="00F76BC1">
      <w:pPr>
        <w:pStyle w:val="BodyText2"/>
        <w:jc w:val="left"/>
        <w:rPr>
          <w:rFonts w:ascii="Tahoma" w:hAnsi="Tahoma" w:cs="Tahoma"/>
          <w:b/>
          <w:szCs w:val="20"/>
        </w:rPr>
      </w:pP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Pozdravljeni. Prosimo vas za odgovore na spodnja vprašanja. Hvala in LP.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1. Začasna obvozna cesta. Ali bosta poleg začasne ceste, verjetno z dvema pasovoma, preko začasnega prečkanja proge tudi hodnik (ali dva) za pešce in/ali kolesarska steza?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2. Ali je pravilna oznaka za začasni železniški prehod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141.8? V datoteki PODROBNA SPECIFIKACIJA IZP in PZI .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xls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se med točkama 4.6 in 4.11 navaja oznaka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141.1.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3. Potrebna bo ukinitev obstoječega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, zavarovanje začasnega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, ukinitev začasnega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in predelava stare relejne postajne SV naprave. Ali je predvideno, da bo vse to zajeto v načrtu »4.5 Načrt zavarovanja začasnega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141.8«? Če kaj od tega ne, v katerem načrtu je to predvideno?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4. Kolikor vemo, je na postaji Škofljica vgrajena stara relejna SV naprava za katero rezervnih delov ni mogoče dobiti. Zaradi ukinitve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bo potrebno SV napravo predelati. Ali je za namen projektiranja na voljo popolna obstoječa PID dokumentacija?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5. Potrebna bo vsaj 2x začasna in 2x končna (območje podvoza in območje začasnega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NPr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) prestavitev/zaščita/nadomestitev SV in TK vodov in naprav zaradi predvidene gradnje in regulacije tira. Obstoječi SVTK vodi so zemeljski in zračni. Ali je predvideno, da bo vse to zajeto v enem načrtu »4.4 Načrt zaščite in prestavitve SV in TK vodov«?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6. Obstoječa proga št. 80 je </w:t>
      </w:r>
      <w:proofErr w:type="spellStart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neelektrificirana</w:t>
      </w:r>
      <w:proofErr w:type="spellEnd"/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 xml:space="preserve"> in enotirna. Ali je pri projektiranju potrebno upoštevati morebitno bodočo dvotirnost in/ali elektrifikacijo proge?</w:t>
      </w:r>
      <w:r w:rsidRPr="00F76BC1">
        <w:rPr>
          <w:rFonts w:ascii="Tahoma" w:hAnsi="Tahoma" w:cs="Tahoma"/>
          <w:color w:val="333333"/>
          <w:szCs w:val="20"/>
        </w:rPr>
        <w:br/>
      </w:r>
      <w:r w:rsidRPr="00F76BC1">
        <w:rPr>
          <w:rFonts w:ascii="Tahoma" w:hAnsi="Tahoma" w:cs="Tahoma"/>
          <w:color w:val="333333"/>
          <w:szCs w:val="20"/>
          <w:shd w:val="clear" w:color="auto" w:fill="FFFFFF"/>
        </w:rPr>
        <w:t>7. Predviden je GC svetli profil. Ali ga je potrebno upoštevati tudi za morebitno dvotirnost?</w:t>
      </w:r>
    </w:p>
    <w:p w:rsidR="00E813F4" w:rsidRDefault="00E813F4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76BC1" w:rsidRPr="00F76BC1" w:rsidRDefault="00F76BC1" w:rsidP="00F76BC1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F76BC1" w:rsidRDefault="00C94751" w:rsidP="00F76BC1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Podajamo </w:t>
      </w:r>
      <w:r w:rsidR="00ED100C">
        <w:rPr>
          <w:rFonts w:ascii="Tahoma" w:hAnsi="Tahoma" w:cs="Tahoma"/>
          <w:b/>
          <w:szCs w:val="20"/>
        </w:rPr>
        <w:t>odgovore</w:t>
      </w:r>
      <w:r>
        <w:rPr>
          <w:rFonts w:ascii="Tahoma" w:hAnsi="Tahoma" w:cs="Tahoma"/>
          <w:b/>
          <w:szCs w:val="20"/>
        </w:rPr>
        <w:t xml:space="preserve"> po posameznih vprašanjih</w:t>
      </w:r>
      <w:r w:rsidR="00E813F4" w:rsidRPr="00F76BC1">
        <w:rPr>
          <w:rFonts w:ascii="Tahoma" w:hAnsi="Tahoma" w:cs="Tahoma"/>
          <w:b/>
          <w:szCs w:val="20"/>
        </w:rPr>
        <w:t>:</w:t>
      </w:r>
    </w:p>
    <w:p w:rsidR="00ED100C" w:rsidRDefault="00ED100C" w:rsidP="00F76BC1">
      <w:pPr>
        <w:pStyle w:val="EndnoteText"/>
        <w:rPr>
          <w:rFonts w:ascii="Tahoma" w:hAnsi="Tahoma" w:cs="Tahoma"/>
          <w:szCs w:val="20"/>
        </w:rPr>
      </w:pPr>
    </w:p>
    <w:p w:rsidR="00E813F4" w:rsidRDefault="00C94751" w:rsidP="00F76BC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Odgovor št. 1:</w:t>
      </w:r>
    </w:p>
    <w:p w:rsidR="00C94751" w:rsidRPr="00C94751" w:rsidRDefault="00C94751" w:rsidP="00F76BC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Predvidena je izvedba začasne deviacije z dvema pasovoma in enostranskim hodnikom za pešce, da se ohrani enak režim kot je na obstoječi glavni cesti. Rešitev mora sicer podati projektant ceste oz. začasne deviacije.</w:t>
      </w:r>
    </w:p>
    <w:p w:rsidR="00ED100C" w:rsidRDefault="00ED100C" w:rsidP="00C94751">
      <w:pPr>
        <w:pStyle w:val="EndnoteText"/>
        <w:rPr>
          <w:rFonts w:ascii="Tahoma" w:hAnsi="Tahoma" w:cs="Tahoma"/>
          <w:szCs w:val="20"/>
        </w:rPr>
      </w:pPr>
    </w:p>
    <w:p w:rsidR="00C94751" w:rsidRDefault="00C94751" w:rsidP="00C94751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Odgovor št. </w:t>
      </w:r>
      <w:r w:rsidR="00DF3877">
        <w:rPr>
          <w:rFonts w:ascii="Tahoma" w:hAnsi="Tahoma" w:cs="Tahoma"/>
          <w:szCs w:val="20"/>
        </w:rPr>
        <w:t>2</w:t>
      </w:r>
      <w:r>
        <w:rPr>
          <w:rFonts w:ascii="Tahoma" w:hAnsi="Tahoma" w:cs="Tahoma"/>
          <w:szCs w:val="20"/>
        </w:rPr>
        <w:t>:</w:t>
      </w:r>
    </w:p>
    <w:p w:rsidR="00DF3877" w:rsidRPr="00DF3877" w:rsidRDefault="00DF3877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Pravilna oznaka je navedena v projektni nalogi in se glasi </w:t>
      </w:r>
      <w:proofErr w:type="spellStart"/>
      <w:r w:rsidRPr="00C9475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NPr</w:t>
      </w:r>
      <w:proofErr w:type="spellEnd"/>
      <w:r w:rsidRPr="00C9475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141.8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. </w:t>
      </w:r>
      <w:r w:rsidRPr="00DF3877">
        <w:rPr>
          <w:rFonts w:ascii="Tahoma" w:hAnsi="Tahoma" w:cs="Tahoma"/>
          <w:sz w:val="20"/>
          <w:szCs w:val="20"/>
        </w:rPr>
        <w:t xml:space="preserve">Naročnik bo do konca roka za objavo pojasnil objavil </w:t>
      </w:r>
      <w:r w:rsidR="00E77EBF">
        <w:rPr>
          <w:rFonts w:ascii="Tahoma" w:hAnsi="Tahoma" w:cs="Tahoma"/>
          <w:sz w:val="20"/>
          <w:szCs w:val="20"/>
        </w:rPr>
        <w:t xml:space="preserve">popravek </w:t>
      </w:r>
      <w:r w:rsidRPr="00DF3877">
        <w:rPr>
          <w:rFonts w:ascii="Tahoma" w:hAnsi="Tahoma" w:cs="Tahoma"/>
          <w:sz w:val="20"/>
          <w:szCs w:val="20"/>
        </w:rPr>
        <w:t>specifikacije skladno s tem odgovorom</w:t>
      </w:r>
      <w:r>
        <w:rPr>
          <w:rFonts w:ascii="Tahoma" w:hAnsi="Tahoma" w:cs="Tahoma"/>
          <w:sz w:val="20"/>
          <w:szCs w:val="20"/>
        </w:rPr>
        <w:t>.</w:t>
      </w:r>
    </w:p>
    <w:p w:rsidR="00C94751" w:rsidRPr="00CB4E7E" w:rsidRDefault="00C94751">
      <w:pPr>
        <w:rPr>
          <w:rFonts w:ascii="Tahoma" w:hAnsi="Tahoma" w:cs="Tahoma"/>
          <w:sz w:val="20"/>
          <w:szCs w:val="20"/>
        </w:rPr>
      </w:pPr>
    </w:p>
    <w:p w:rsidR="00DF3877" w:rsidRPr="00CB4E7E" w:rsidRDefault="00DF3877" w:rsidP="00DF3877">
      <w:pPr>
        <w:pStyle w:val="EndnoteText"/>
        <w:rPr>
          <w:rFonts w:ascii="Tahoma" w:hAnsi="Tahoma" w:cs="Tahoma"/>
          <w:szCs w:val="20"/>
        </w:rPr>
      </w:pPr>
      <w:r w:rsidRPr="00CB4E7E">
        <w:rPr>
          <w:rFonts w:ascii="Tahoma" w:hAnsi="Tahoma" w:cs="Tahoma"/>
          <w:szCs w:val="20"/>
        </w:rPr>
        <w:t>Odgovor št. 3:</w:t>
      </w:r>
    </w:p>
    <w:p w:rsidR="00C94751" w:rsidRPr="00CB4E7E" w:rsidRDefault="00CB4E7E">
      <w:pPr>
        <w:rPr>
          <w:rFonts w:ascii="Tahoma" w:hAnsi="Tahoma" w:cs="Tahoma"/>
          <w:sz w:val="20"/>
          <w:szCs w:val="20"/>
        </w:rPr>
      </w:pPr>
      <w:r w:rsidRPr="00CB4E7E">
        <w:rPr>
          <w:rFonts w:ascii="Tahoma" w:hAnsi="Tahoma" w:cs="Tahoma"/>
          <w:sz w:val="20"/>
          <w:szCs w:val="20"/>
        </w:rPr>
        <w:t xml:space="preserve">Vse od navedenega bo moralo biti zajeto v </w:t>
      </w:r>
      <w:r w:rsidRPr="00CB4E7E">
        <w:rPr>
          <w:rFonts w:ascii="Tahoma" w:hAnsi="Tahoma" w:cs="Tahoma"/>
          <w:sz w:val="20"/>
          <w:szCs w:val="20"/>
          <w:shd w:val="clear" w:color="auto" w:fill="FFFFFF"/>
        </w:rPr>
        <w:t xml:space="preserve">načrtu »4.5 Načrt zavarovanja začasnega </w:t>
      </w:r>
      <w:proofErr w:type="spellStart"/>
      <w:r w:rsidRPr="00CB4E7E">
        <w:rPr>
          <w:rFonts w:ascii="Tahoma" w:hAnsi="Tahoma" w:cs="Tahoma"/>
          <w:sz w:val="20"/>
          <w:szCs w:val="20"/>
          <w:shd w:val="clear" w:color="auto" w:fill="FFFFFF"/>
        </w:rPr>
        <w:t>NPr</w:t>
      </w:r>
      <w:proofErr w:type="spellEnd"/>
      <w:r w:rsidRPr="00CB4E7E">
        <w:rPr>
          <w:rFonts w:ascii="Tahoma" w:hAnsi="Tahoma" w:cs="Tahoma"/>
          <w:sz w:val="20"/>
          <w:szCs w:val="20"/>
          <w:shd w:val="clear" w:color="auto" w:fill="FFFFFF"/>
        </w:rPr>
        <w:t xml:space="preserve"> 141.8«.</w:t>
      </w:r>
    </w:p>
    <w:p w:rsidR="00DF3877" w:rsidRPr="00CB4E7E" w:rsidRDefault="00DF3877">
      <w:pPr>
        <w:rPr>
          <w:rFonts w:ascii="Tahoma" w:hAnsi="Tahoma" w:cs="Tahoma"/>
          <w:sz w:val="20"/>
          <w:szCs w:val="20"/>
        </w:rPr>
      </w:pPr>
    </w:p>
    <w:p w:rsidR="00C94751" w:rsidRDefault="00C94751">
      <w:pPr>
        <w:rPr>
          <w:rFonts w:ascii="Tahoma" w:hAnsi="Tahoma" w:cs="Tahoma"/>
          <w:sz w:val="20"/>
          <w:szCs w:val="20"/>
        </w:rPr>
      </w:pPr>
    </w:p>
    <w:p w:rsidR="00DF3877" w:rsidRPr="00DF3877" w:rsidRDefault="00DF3877" w:rsidP="00DF3877">
      <w:pPr>
        <w:pStyle w:val="EndnoteText"/>
        <w:rPr>
          <w:rFonts w:ascii="Tahoma" w:hAnsi="Tahoma" w:cs="Tahoma"/>
          <w:szCs w:val="20"/>
        </w:rPr>
      </w:pPr>
      <w:r w:rsidRPr="00DF3877">
        <w:rPr>
          <w:rFonts w:ascii="Tahoma" w:hAnsi="Tahoma" w:cs="Tahoma"/>
          <w:szCs w:val="20"/>
        </w:rPr>
        <w:t>Odgovor št. 4:</w:t>
      </w:r>
    </w:p>
    <w:p w:rsidR="00DF3877" w:rsidRPr="00DF3877" w:rsidRDefault="00DF3877">
      <w:pPr>
        <w:rPr>
          <w:rFonts w:ascii="Tahoma" w:hAnsi="Tahoma" w:cs="Tahoma"/>
          <w:sz w:val="20"/>
          <w:szCs w:val="20"/>
        </w:rPr>
      </w:pPr>
      <w:r w:rsidRPr="00DF3877">
        <w:rPr>
          <w:rFonts w:ascii="Tahoma" w:hAnsi="Tahoma" w:cs="Tahoma"/>
          <w:sz w:val="20"/>
          <w:szCs w:val="20"/>
        </w:rPr>
        <w:t>Obstoječa PID dokumentacija je na voljo pri upravljavcu JŽI. Po predhodni najavi je na voljo v vpogled.</w:t>
      </w:r>
    </w:p>
    <w:p w:rsidR="00DF3877" w:rsidRPr="00DF3877" w:rsidRDefault="00DF3877">
      <w:pPr>
        <w:rPr>
          <w:rFonts w:ascii="Tahoma" w:hAnsi="Tahoma" w:cs="Tahoma"/>
          <w:sz w:val="20"/>
          <w:szCs w:val="20"/>
        </w:rPr>
      </w:pPr>
    </w:p>
    <w:p w:rsidR="00DF3877" w:rsidRPr="00CB4E7E" w:rsidRDefault="00DF3877" w:rsidP="00DF3877">
      <w:pPr>
        <w:pStyle w:val="EndnoteText"/>
        <w:rPr>
          <w:rFonts w:ascii="Tahoma" w:hAnsi="Tahoma" w:cs="Tahoma"/>
          <w:szCs w:val="20"/>
        </w:rPr>
      </w:pPr>
      <w:r w:rsidRPr="00CB4E7E">
        <w:rPr>
          <w:rFonts w:ascii="Tahoma" w:hAnsi="Tahoma" w:cs="Tahoma"/>
          <w:szCs w:val="20"/>
        </w:rPr>
        <w:t>Odgovor št. 5:</w:t>
      </w:r>
    </w:p>
    <w:p w:rsidR="00DF3877" w:rsidRPr="00CB4E7E" w:rsidRDefault="00DF3877" w:rsidP="00DF3877">
      <w:pPr>
        <w:pStyle w:val="EndnoteText"/>
        <w:rPr>
          <w:rFonts w:ascii="Tahoma" w:hAnsi="Tahoma" w:cs="Tahoma"/>
          <w:szCs w:val="20"/>
        </w:rPr>
      </w:pPr>
      <w:r w:rsidRPr="00CB4E7E">
        <w:rPr>
          <w:rFonts w:ascii="Tahoma" w:hAnsi="Tahoma" w:cs="Tahoma"/>
          <w:szCs w:val="20"/>
        </w:rPr>
        <w:t xml:space="preserve">Vse </w:t>
      </w:r>
      <w:r w:rsidR="00465C3B" w:rsidRPr="00CB4E7E">
        <w:rPr>
          <w:rFonts w:ascii="Tahoma" w:hAnsi="Tahoma" w:cs="Tahoma"/>
          <w:szCs w:val="20"/>
        </w:rPr>
        <w:t xml:space="preserve">kar se tiče izvedbe podvoza je lahko </w:t>
      </w:r>
      <w:r w:rsidRPr="00CB4E7E">
        <w:rPr>
          <w:rFonts w:ascii="Tahoma" w:hAnsi="Tahoma" w:cs="Tahoma"/>
          <w:szCs w:val="20"/>
        </w:rPr>
        <w:t xml:space="preserve">zajeto v enem načrtu. Ločeno so v načrtu 4.5 Načrt zavarovanja začasnega </w:t>
      </w:r>
      <w:proofErr w:type="spellStart"/>
      <w:r w:rsidRPr="00CB4E7E">
        <w:rPr>
          <w:rFonts w:ascii="Tahoma" w:hAnsi="Tahoma" w:cs="Tahoma"/>
          <w:szCs w:val="20"/>
        </w:rPr>
        <w:t>NPr</w:t>
      </w:r>
      <w:proofErr w:type="spellEnd"/>
      <w:r w:rsidRPr="00CB4E7E">
        <w:rPr>
          <w:rFonts w:ascii="Tahoma" w:hAnsi="Tahoma" w:cs="Tahoma"/>
          <w:szCs w:val="20"/>
        </w:rPr>
        <w:t xml:space="preserve"> 141.8 predvidene vse začasne ureditve, ki jih zahteva </w:t>
      </w:r>
      <w:r w:rsidR="00465C3B" w:rsidRPr="00CB4E7E">
        <w:rPr>
          <w:rFonts w:ascii="Tahoma" w:hAnsi="Tahoma" w:cs="Tahoma"/>
          <w:szCs w:val="20"/>
        </w:rPr>
        <w:t>postavitev in odstranitev začasnega prehoda.</w:t>
      </w:r>
    </w:p>
    <w:p w:rsidR="00DF3877" w:rsidRDefault="00DF3877">
      <w:pPr>
        <w:rPr>
          <w:rFonts w:ascii="Tahoma" w:hAnsi="Tahoma" w:cs="Tahoma"/>
          <w:sz w:val="20"/>
          <w:szCs w:val="20"/>
        </w:rPr>
      </w:pPr>
    </w:p>
    <w:p w:rsidR="00DF3877" w:rsidRDefault="00DF3877" w:rsidP="00DF387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Odgovor št. 6:</w:t>
      </w:r>
    </w:p>
    <w:p w:rsidR="00465C3B" w:rsidRDefault="00465C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Morebitna dvotirnost se s tem projektom upošteva le v tej meri, kot je navedeno v projektni nalogi v poglavju </w:t>
      </w:r>
      <w:r w:rsidRPr="00465C3B">
        <w:rPr>
          <w:rFonts w:ascii="Tahoma" w:hAnsi="Tahoma" w:cs="Tahoma"/>
          <w:sz w:val="20"/>
          <w:szCs w:val="20"/>
        </w:rPr>
        <w:t>3.0.2, točka 7 – na strani 21.</w:t>
      </w:r>
      <w:r w:rsidR="00CB4E7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Projektiranje dvotirnosti oziroma elektrifikacija proge ni predmet izdelave tega načrta.</w:t>
      </w:r>
    </w:p>
    <w:p w:rsidR="00465C3B" w:rsidRDefault="00465C3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F3877" w:rsidRPr="00465C3B" w:rsidRDefault="00DF3877" w:rsidP="00DF3877">
      <w:pPr>
        <w:pStyle w:val="EndnoteText"/>
        <w:rPr>
          <w:rFonts w:ascii="Tahoma" w:hAnsi="Tahoma" w:cs="Tahoma"/>
          <w:szCs w:val="20"/>
        </w:rPr>
      </w:pPr>
      <w:r w:rsidRPr="00465C3B">
        <w:rPr>
          <w:rFonts w:ascii="Tahoma" w:hAnsi="Tahoma" w:cs="Tahoma"/>
          <w:szCs w:val="20"/>
        </w:rPr>
        <w:t>Odgovor št. 7:</w:t>
      </w:r>
    </w:p>
    <w:p w:rsidR="00DF3877" w:rsidRPr="00C94751" w:rsidRDefault="00465C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Odgovor je enak kot pri točki 6.</w:t>
      </w:r>
    </w:p>
    <w:sectPr w:rsidR="00DF3877" w:rsidRPr="00C94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08E" w:rsidRDefault="00A9408E">
      <w:r>
        <w:separator/>
      </w:r>
    </w:p>
  </w:endnote>
  <w:endnote w:type="continuationSeparator" w:id="0">
    <w:p w:rsidR="00A9408E" w:rsidRDefault="00A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F445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445C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08E" w:rsidRDefault="00A9408E">
      <w:r>
        <w:separator/>
      </w:r>
    </w:p>
  </w:footnote>
  <w:footnote w:type="continuationSeparator" w:id="0">
    <w:p w:rsidR="00A9408E" w:rsidRDefault="00A9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0B2" w:rsidRDefault="0000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46A9"/>
    <w:rsid w:val="00133DF2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65C3B"/>
    <w:rsid w:val="004B34B5"/>
    <w:rsid w:val="00556816"/>
    <w:rsid w:val="00634B0D"/>
    <w:rsid w:val="00637BE6"/>
    <w:rsid w:val="0068606A"/>
    <w:rsid w:val="00730B77"/>
    <w:rsid w:val="00902647"/>
    <w:rsid w:val="009B1FD9"/>
    <w:rsid w:val="00A05C73"/>
    <w:rsid w:val="00A17575"/>
    <w:rsid w:val="00A9408E"/>
    <w:rsid w:val="00AD3747"/>
    <w:rsid w:val="00C94751"/>
    <w:rsid w:val="00CB4E7E"/>
    <w:rsid w:val="00CF445C"/>
    <w:rsid w:val="00DB7CDA"/>
    <w:rsid w:val="00DF3877"/>
    <w:rsid w:val="00E51016"/>
    <w:rsid w:val="00E66D5B"/>
    <w:rsid w:val="00E77EBF"/>
    <w:rsid w:val="00E813F4"/>
    <w:rsid w:val="00EA1375"/>
    <w:rsid w:val="00ED100C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EF620F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2020-09-04T11:51:00Z</cp:lastPrinted>
  <dcterms:created xsi:type="dcterms:W3CDTF">2020-09-03T07:26:00Z</dcterms:created>
  <dcterms:modified xsi:type="dcterms:W3CDTF">2020-09-04T11:52:00Z</dcterms:modified>
</cp:coreProperties>
</file>